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0B4ABFF6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661444">
        <w:rPr>
          <w:b/>
          <w:sz w:val="32"/>
          <w:szCs w:val="32"/>
        </w:rPr>
        <w:t>Флагманы Дальнего Востока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7D91520F" w14:textId="77777777" w:rsidR="00661444" w:rsidRDefault="00E05821" w:rsidP="00661444">
      <w:pPr>
        <w:widowControl w:val="0"/>
        <w:spacing w:after="0" w:line="240" w:lineRule="auto"/>
        <w:ind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661444">
        <w:rPr>
          <w:sz w:val="28"/>
          <w:szCs w:val="28"/>
        </w:rPr>
        <w:t xml:space="preserve">Важным направлением в реализации государственной политики в области дополнительного образования детей является изменение содержания образования, создание условий, в которых подрастающее поколение может знакомиться с приоритетными направлениями развития науки и технологий Российской Федерации, получает возможность развивать свои таланты и способности, получать опыт исследовательской и проектной деятельности, знакомиться с разнообразием возможностей и достижений своей малой родины и страны. </w:t>
      </w:r>
    </w:p>
    <w:p w14:paraId="4B060515" w14:textId="77777777" w:rsidR="00661444" w:rsidRDefault="00661444" w:rsidP="00661444">
      <w:pPr>
        <w:widowControl w:val="0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Именно поэтому дополнительная общеобразовательная общеразвивающая программа «Флагманы Дальнего Востока» направлена на создание благоприятных условий для развития обучающихся в рамках Федеральной программы «Все лучшее детям». </w:t>
      </w:r>
    </w:p>
    <w:p w14:paraId="40FDC561" w14:textId="77777777" w:rsidR="00661444" w:rsidRDefault="00661444" w:rsidP="00661444">
      <w:pPr>
        <w:widowControl w:val="0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Разработка программы обусловлена актуальностью обновления содержания и технологий ДООП для создания условий вовлечения детей в практику глобального, регионального и локального развития общества, развития лидерских качеств, финансовой, правовой и медиа-грамотности, предпринимательских навыков,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 Кроме этого, программа направлена на вовлечение обучающихся в мероприятия ранней профориентации согласно принятой Концепции развития дополнительного образования детей до 2030 года. </w:t>
      </w:r>
    </w:p>
    <w:p w14:paraId="6289F067" w14:textId="77777777" w:rsidR="00661444" w:rsidRDefault="00661444" w:rsidP="00661444">
      <w:pPr>
        <w:widowControl w:val="0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ДООП «Флагманы Дальнего Востока» предоставляет обучающимся возможность участвовать в полном цикле познавательного процесса: от приобретения, усвоения, преобразования знаний до их практического применения. Занятия по программе помогают раскрыть интересы и склонности ребёнка, создают условия для формирования навыков принятия самостоятельных конструкторских и дизайнерских решений, развивают у обучающихся интерес к науке и технике, а также к деятельности предприятий — флагманов Дальнего Востока.</w:t>
      </w:r>
    </w:p>
    <w:p w14:paraId="4EAE25F6" w14:textId="60D89B46" w:rsidR="003556D5" w:rsidRDefault="003556D5" w:rsidP="00661444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</w:rPr>
      </w:pPr>
    </w:p>
    <w:p w14:paraId="38926E50" w14:textId="586EBA43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661444">
        <w:rPr>
          <w:bCs/>
          <w:sz w:val="28"/>
          <w:szCs w:val="28"/>
        </w:rPr>
        <w:t>базовый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38B34BDB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661444">
        <w:rPr>
          <w:bCs/>
          <w:sz w:val="28"/>
          <w:szCs w:val="28"/>
        </w:rPr>
        <w:t>16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4EB7BAC7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E45090">
        <w:rPr>
          <w:bCs/>
          <w:sz w:val="28"/>
          <w:szCs w:val="28"/>
        </w:rPr>
        <w:t>1</w:t>
      </w:r>
      <w:r w:rsidR="00B57F6F">
        <w:rPr>
          <w:bCs/>
          <w:sz w:val="28"/>
          <w:szCs w:val="28"/>
        </w:rPr>
        <w:t xml:space="preserve"> – 1</w:t>
      </w:r>
      <w:r w:rsidR="0066144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лет. </w:t>
      </w:r>
    </w:p>
    <w:p w14:paraId="3A197E01" w14:textId="77777777" w:rsidR="00661444" w:rsidRDefault="00E05821" w:rsidP="00661444">
      <w:pPr>
        <w:widowControl w:val="0"/>
        <w:spacing w:after="0" w:line="240" w:lineRule="auto"/>
        <w:ind w:firstLine="708"/>
        <w:rPr>
          <w:rFonts w:eastAsia="Calibri"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661444">
        <w:rPr>
          <w:rFonts w:eastAsia="Calibri"/>
          <w:sz w:val="28"/>
          <w:szCs w:val="28"/>
        </w:rPr>
        <w:t xml:space="preserve">ранняя профориентация обучающихся и популяризация инженерных кадров в энергетической, </w:t>
      </w:r>
      <w:proofErr w:type="spellStart"/>
      <w:r w:rsidR="00661444">
        <w:rPr>
          <w:rFonts w:eastAsia="Calibri"/>
          <w:sz w:val="28"/>
          <w:szCs w:val="28"/>
        </w:rPr>
        <w:t>судо</w:t>
      </w:r>
      <w:proofErr w:type="spellEnd"/>
      <w:r w:rsidR="00661444">
        <w:rPr>
          <w:rFonts w:eastAsia="Calibri"/>
          <w:sz w:val="28"/>
          <w:szCs w:val="28"/>
        </w:rPr>
        <w:t xml:space="preserve"> – и авиастроительной, горнодобывающей отраслях Хабаровского края. </w:t>
      </w:r>
    </w:p>
    <w:p w14:paraId="7F03B4D1" w14:textId="77777777" w:rsidR="00661444" w:rsidRDefault="00661444" w:rsidP="00661444">
      <w:pPr>
        <w:widowControl w:val="0"/>
        <w:spacing w:after="0" w:line="240" w:lineRule="auto"/>
        <w:ind w:firstLine="708"/>
        <w:rPr>
          <w:b/>
          <w:sz w:val="28"/>
        </w:rPr>
      </w:pPr>
      <w:r>
        <w:rPr>
          <w:b/>
          <w:sz w:val="28"/>
        </w:rPr>
        <w:lastRenderedPageBreak/>
        <w:t>Задачи:</w:t>
      </w:r>
    </w:p>
    <w:p w14:paraId="4C3CA891" w14:textId="77777777" w:rsidR="00661444" w:rsidRDefault="00661444" w:rsidP="00661444">
      <w:pPr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Предметные:</w:t>
      </w:r>
    </w:p>
    <w:p w14:paraId="4E1B9938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познакомить обучающихся с производственной деятельностью краевых предприятий горнодобывающей промышленности, энергетической отрасли, авиа- и судостроительного профилей;</w:t>
      </w:r>
    </w:p>
    <w:p w14:paraId="13D1CB51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научить базовому программированию;</w:t>
      </w:r>
    </w:p>
    <w:p w14:paraId="7271B153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сформировать начальные навыки работы со схемами и чертежами в системе САПР;</w:t>
      </w:r>
    </w:p>
    <w:p w14:paraId="0EACA143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научить работе с аддитивными технологиями и композитными материалами.</w:t>
      </w:r>
    </w:p>
    <w:p w14:paraId="0FB32E3B" w14:textId="77777777" w:rsidR="00661444" w:rsidRDefault="00661444" w:rsidP="00661444">
      <w:pPr>
        <w:spacing w:before="240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68014B52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>поддерживать самостоятельность в учебно-</w:t>
      </w:r>
      <w:proofErr w:type="spellStart"/>
      <w:r>
        <w:rPr>
          <w:sz w:val="28"/>
          <w:szCs w:val="28"/>
        </w:rPr>
        <w:t>познавательнойдеятельности</w:t>
      </w:r>
      <w:proofErr w:type="spellEnd"/>
      <w:r>
        <w:rPr>
          <w:sz w:val="28"/>
          <w:szCs w:val="28"/>
        </w:rPr>
        <w:t>;</w:t>
      </w:r>
    </w:p>
    <w:p w14:paraId="14B38A58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развивать навыки инженерно-конструкторской и </w:t>
      </w:r>
      <w:proofErr w:type="spellStart"/>
      <w:r>
        <w:rPr>
          <w:sz w:val="28"/>
          <w:szCs w:val="28"/>
        </w:rPr>
        <w:t>проектнойдеятельности</w:t>
      </w:r>
      <w:proofErr w:type="spellEnd"/>
      <w:r>
        <w:rPr>
          <w:sz w:val="28"/>
          <w:szCs w:val="28"/>
        </w:rPr>
        <w:t>;</w:t>
      </w:r>
    </w:p>
    <w:p w14:paraId="46CF079E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воспитывать трудолюбие, творческое отношение к работе </w:t>
      </w:r>
      <w:proofErr w:type="spellStart"/>
      <w:r>
        <w:rPr>
          <w:sz w:val="28"/>
          <w:szCs w:val="28"/>
        </w:rPr>
        <w:t>иумение</w:t>
      </w:r>
      <w:proofErr w:type="spellEnd"/>
      <w:r>
        <w:rPr>
          <w:sz w:val="28"/>
          <w:szCs w:val="28"/>
        </w:rPr>
        <w:t xml:space="preserve"> планировать деятельность по реализации замысла;</w:t>
      </w:r>
    </w:p>
    <w:p w14:paraId="0F641457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собственному труду, труду других людей и его результатам.</w:t>
      </w:r>
    </w:p>
    <w:p w14:paraId="0D6CFC37" w14:textId="77777777" w:rsidR="00661444" w:rsidRDefault="00661444" w:rsidP="00661444">
      <w:pPr>
        <w:pStyle w:val="a3"/>
        <w:rPr>
          <w:sz w:val="28"/>
          <w:szCs w:val="28"/>
        </w:rPr>
      </w:pPr>
    </w:p>
    <w:p w14:paraId="29147CB5" w14:textId="77777777" w:rsidR="00661444" w:rsidRDefault="00661444" w:rsidP="00661444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Личностные:</w:t>
      </w:r>
    </w:p>
    <w:p w14:paraId="12010479" w14:textId="77777777" w:rsidR="00661444" w:rsidRDefault="00661444" w:rsidP="00661444">
      <w:pPr>
        <w:pStyle w:val="a3"/>
        <w:numPr>
          <w:ilvl w:val="0"/>
          <w:numId w:val="26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>формировать навыки продуктивного общения и сотрудничества со сверстниками и взрослыми в ходе творческой деятельности;</w:t>
      </w:r>
    </w:p>
    <w:p w14:paraId="4C154BD4" w14:textId="77777777" w:rsidR="00661444" w:rsidRDefault="00661444" w:rsidP="00661444">
      <w:pPr>
        <w:pStyle w:val="a3"/>
        <w:numPr>
          <w:ilvl w:val="0"/>
          <w:numId w:val="26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формировать активную личностную позицию;</w:t>
      </w:r>
    </w:p>
    <w:p w14:paraId="680AF4DB" w14:textId="77777777" w:rsidR="00661444" w:rsidRDefault="00661444" w:rsidP="00661444">
      <w:pPr>
        <w:pStyle w:val="a3"/>
        <w:numPr>
          <w:ilvl w:val="0"/>
          <w:numId w:val="26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мотивировать на достижение личных и коллективных целей.</w:t>
      </w:r>
    </w:p>
    <w:p w14:paraId="670CC423" w14:textId="7A1492F6" w:rsidR="00E05821" w:rsidRDefault="00D338E8" w:rsidP="00661444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661444">
        <w:rPr>
          <w:bCs/>
          <w:sz w:val="28"/>
          <w:szCs w:val="28"/>
        </w:rPr>
        <w:t xml:space="preserve">Флагманы Дальнего </w:t>
      </w:r>
      <w:proofErr w:type="spellStart"/>
      <w:r w:rsidR="00661444">
        <w:rPr>
          <w:bCs/>
          <w:sz w:val="28"/>
          <w:szCs w:val="28"/>
        </w:rPr>
        <w:t>Вотсока</w:t>
      </w:r>
      <w:proofErr w:type="spellEnd"/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40D65605" w14:textId="77777777" w:rsidR="00661444" w:rsidRDefault="00661444" w:rsidP="00661444">
      <w:pPr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Предметные:</w:t>
      </w:r>
    </w:p>
    <w:p w14:paraId="79AECD03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обучающиеся познакомятся с производственной деятельностью краевых предприятий горнодобывающей промышленности, энергетической отрасли, авиа- и судостроительного профилей;</w:t>
      </w:r>
    </w:p>
    <w:p w14:paraId="41FBEC11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научатсябазовому</w:t>
      </w:r>
      <w:proofErr w:type="spellEnd"/>
      <w:r>
        <w:rPr>
          <w:sz w:val="28"/>
          <w:szCs w:val="28"/>
        </w:rPr>
        <w:t xml:space="preserve"> программированию;</w:t>
      </w:r>
    </w:p>
    <w:p w14:paraId="789C2B4E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сформируются начальные навыки работы со схемами и чертежами простых моделей в системе САПР;</w:t>
      </w:r>
    </w:p>
    <w:p w14:paraId="1A363517" w14:textId="77777777" w:rsidR="00661444" w:rsidRDefault="00661444" w:rsidP="00661444">
      <w:pPr>
        <w:pStyle w:val="a3"/>
        <w:numPr>
          <w:ilvl w:val="0"/>
          <w:numId w:val="27"/>
        </w:numPr>
        <w:spacing w:after="160" w:line="278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научатся работать с аддитивными технологиями и композитными материалами.</w:t>
      </w:r>
    </w:p>
    <w:p w14:paraId="2C9F809C" w14:textId="77777777" w:rsidR="00661444" w:rsidRDefault="00661444" w:rsidP="00661444">
      <w:pPr>
        <w:spacing w:before="240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7E159E8F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>научатся планировать последовательность действий для достижения цели;</w:t>
      </w:r>
    </w:p>
    <w:p w14:paraId="1E70D581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сформируются навыки инженерно-конструкторской и </w:t>
      </w:r>
      <w:proofErr w:type="spellStart"/>
      <w:r>
        <w:rPr>
          <w:sz w:val="28"/>
          <w:szCs w:val="28"/>
        </w:rPr>
        <w:t>проектнойдеятельности</w:t>
      </w:r>
      <w:proofErr w:type="spellEnd"/>
      <w:r>
        <w:rPr>
          <w:sz w:val="28"/>
          <w:szCs w:val="28"/>
        </w:rPr>
        <w:t>;</w:t>
      </w:r>
    </w:p>
    <w:p w14:paraId="69BB6B96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>научатся осуществлять итоговый и пошаговый контроль при осуществлении конструктивной деятельности;</w:t>
      </w:r>
    </w:p>
    <w:p w14:paraId="561B3C66" w14:textId="77777777" w:rsidR="00661444" w:rsidRDefault="00661444" w:rsidP="00661444">
      <w:pPr>
        <w:pStyle w:val="a3"/>
        <w:numPr>
          <w:ilvl w:val="0"/>
          <w:numId w:val="25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>научатся признавать возможность существования различных точек зрения и право каждого иметь свой взгляд на проблему.</w:t>
      </w:r>
    </w:p>
    <w:p w14:paraId="6DE8E5E6" w14:textId="77777777" w:rsidR="00661444" w:rsidRDefault="00661444" w:rsidP="00661444">
      <w:pPr>
        <w:pStyle w:val="a3"/>
        <w:rPr>
          <w:sz w:val="28"/>
          <w:szCs w:val="28"/>
        </w:rPr>
      </w:pPr>
    </w:p>
    <w:p w14:paraId="1AC8A863" w14:textId="77777777" w:rsidR="00661444" w:rsidRDefault="00661444" w:rsidP="00661444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Личностные:</w:t>
      </w:r>
    </w:p>
    <w:p w14:paraId="1EF08CF2" w14:textId="77777777" w:rsidR="00661444" w:rsidRDefault="00661444" w:rsidP="00661444">
      <w:pPr>
        <w:pStyle w:val="a3"/>
        <w:numPr>
          <w:ilvl w:val="0"/>
          <w:numId w:val="26"/>
        </w:num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сформируются навыки продуктивного общения </w:t>
      </w:r>
      <w:proofErr w:type="spellStart"/>
      <w:r>
        <w:rPr>
          <w:sz w:val="28"/>
          <w:szCs w:val="28"/>
        </w:rPr>
        <w:t>исотрудничества</w:t>
      </w:r>
      <w:proofErr w:type="spellEnd"/>
      <w:r>
        <w:rPr>
          <w:sz w:val="28"/>
          <w:szCs w:val="28"/>
        </w:rPr>
        <w:t xml:space="preserve"> со сверстниками и взрослыми в ходе творческой деятельности;</w:t>
      </w:r>
    </w:p>
    <w:p w14:paraId="0D5BF57C" w14:textId="77777777" w:rsidR="00661444" w:rsidRDefault="00661444" w:rsidP="00661444">
      <w:pPr>
        <w:pStyle w:val="a3"/>
        <w:numPr>
          <w:ilvl w:val="0"/>
          <w:numId w:val="26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будут проявлять интерес к социальной активности, станут более инициативными;</w:t>
      </w:r>
    </w:p>
    <w:p w14:paraId="1BE55A29" w14:textId="77777777" w:rsidR="00661444" w:rsidRDefault="00661444" w:rsidP="00661444">
      <w:pPr>
        <w:pStyle w:val="a3"/>
        <w:numPr>
          <w:ilvl w:val="0"/>
          <w:numId w:val="26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разовьют умение сотрудничать с взрослыми и сверстниками в процессе творческой деятельности.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25F1"/>
    <w:multiLevelType w:val="hybridMultilevel"/>
    <w:tmpl w:val="8926FD2A"/>
    <w:lvl w:ilvl="0" w:tplc="C53E5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F2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2B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A0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8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CD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9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AD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01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050C4F"/>
    <w:multiLevelType w:val="hybridMultilevel"/>
    <w:tmpl w:val="BB96E83C"/>
    <w:lvl w:ilvl="0" w:tplc="CDACB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28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2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6C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6C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C6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2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80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E7E56"/>
    <w:multiLevelType w:val="hybridMultilevel"/>
    <w:tmpl w:val="B6AA427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42CBF"/>
    <w:multiLevelType w:val="hybridMultilevel"/>
    <w:tmpl w:val="AA7007FE"/>
    <w:lvl w:ilvl="0" w:tplc="0E36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6A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E3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6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81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C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03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0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2C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4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3"/>
  </w:num>
  <w:num w:numId="2" w16cid:durableId="1145199647">
    <w:abstractNumId w:val="25"/>
  </w:num>
  <w:num w:numId="3" w16cid:durableId="211188673">
    <w:abstractNumId w:val="15"/>
  </w:num>
  <w:num w:numId="4" w16cid:durableId="841550241">
    <w:abstractNumId w:val="21"/>
  </w:num>
  <w:num w:numId="5" w16cid:durableId="740367165">
    <w:abstractNumId w:val="6"/>
  </w:num>
  <w:num w:numId="6" w16cid:durableId="1745491624">
    <w:abstractNumId w:val="20"/>
  </w:num>
  <w:num w:numId="7" w16cid:durableId="901477991">
    <w:abstractNumId w:val="26"/>
  </w:num>
  <w:num w:numId="8" w16cid:durableId="1028719611">
    <w:abstractNumId w:val="16"/>
  </w:num>
  <w:num w:numId="9" w16cid:durableId="1796874896">
    <w:abstractNumId w:val="23"/>
  </w:num>
  <w:num w:numId="10" w16cid:durableId="1911891803">
    <w:abstractNumId w:val="24"/>
  </w:num>
  <w:num w:numId="11" w16cid:durableId="1687950202">
    <w:abstractNumId w:val="18"/>
  </w:num>
  <w:num w:numId="12" w16cid:durableId="255285912">
    <w:abstractNumId w:val="0"/>
  </w:num>
  <w:num w:numId="13" w16cid:durableId="2078016967">
    <w:abstractNumId w:val="14"/>
  </w:num>
  <w:num w:numId="14" w16cid:durableId="1784836986">
    <w:abstractNumId w:val="2"/>
  </w:num>
  <w:num w:numId="15" w16cid:durableId="1211305820">
    <w:abstractNumId w:val="17"/>
  </w:num>
  <w:num w:numId="16" w16cid:durableId="2114595603">
    <w:abstractNumId w:val="8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11"/>
  </w:num>
  <w:num w:numId="20" w16cid:durableId="1256594146">
    <w:abstractNumId w:val="12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9"/>
  </w:num>
  <w:num w:numId="24" w16cid:durableId="1690182980">
    <w:abstractNumId w:val="19"/>
  </w:num>
  <w:num w:numId="25" w16cid:durableId="536043975">
    <w:abstractNumId w:val="10"/>
  </w:num>
  <w:num w:numId="26" w16cid:durableId="1968926818">
    <w:abstractNumId w:val="22"/>
  </w:num>
  <w:num w:numId="27" w16cid:durableId="179470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4439D0"/>
    <w:rsid w:val="00451E78"/>
    <w:rsid w:val="004D6B58"/>
    <w:rsid w:val="005B0538"/>
    <w:rsid w:val="005C1F61"/>
    <w:rsid w:val="00661444"/>
    <w:rsid w:val="007C3282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45090"/>
    <w:rsid w:val="00E76C2D"/>
    <w:rsid w:val="00F052E8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14</cp:revision>
  <dcterms:created xsi:type="dcterms:W3CDTF">2022-09-26T05:50:00Z</dcterms:created>
  <dcterms:modified xsi:type="dcterms:W3CDTF">2025-10-14T06:19:00Z</dcterms:modified>
</cp:coreProperties>
</file>